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ascii="微软雅黑" w:hAnsi="微软雅黑" w:eastAsia="微软雅黑" w:cs="微软雅黑"/>
          <w:b w:val="0"/>
          <w:bCs w:val="0"/>
          <w:i w:val="0"/>
          <w:iCs w:val="0"/>
          <w:caps w:val="0"/>
          <w:color w:val="333333"/>
          <w:spacing w:val="0"/>
          <w:sz w:val="38"/>
          <w:szCs w:val="38"/>
        </w:rPr>
      </w:pPr>
      <w:r>
        <w:rPr>
          <w:rFonts w:hint="eastAsia" w:ascii="微软雅黑" w:hAnsi="微软雅黑" w:eastAsia="微软雅黑" w:cs="微软雅黑"/>
          <w:b w:val="0"/>
          <w:bCs w:val="0"/>
          <w:i w:val="0"/>
          <w:iCs w:val="0"/>
          <w:caps w:val="0"/>
          <w:color w:val="333333"/>
          <w:spacing w:val="0"/>
          <w:sz w:val="38"/>
          <w:szCs w:val="38"/>
          <w:bdr w:val="none" w:color="auto" w:sz="0" w:space="0"/>
          <w:shd w:val="clear" w:fill="FFFFFF"/>
        </w:rPr>
        <w:t>事业单位人事管理回避规定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br w:type="textWrapping"/>
      </w:r>
      <w:r>
        <w:rPr>
          <w:rStyle w:val="6"/>
          <w:rFonts w:hint="eastAsia" w:ascii="宋体" w:hAnsi="宋体" w:eastAsia="宋体" w:cs="宋体"/>
          <w:i w:val="0"/>
          <w:iCs w:val="0"/>
          <w:caps w:val="0"/>
          <w:color w:val="333333"/>
          <w:spacing w:val="0"/>
          <w:sz w:val="19"/>
          <w:szCs w:val="19"/>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第一条 为规范事业单位人事管理工作，维护人事管理公平公正，根据《事业单位人事管理条例》及有关法律法规，制定本规定。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第三条 本规定所称事业单位人事管理回避包括岗位回避和履职回避。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第四条 事业单位人事管理工作所有参与方以及可能影响公正的特定关系人需要回避的，适用本规定。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事业单位领导人员回避按照本规定执行，法律法规另有规定的，从其规定。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第五条 事业单位、主管部门、事业单位人事综合管理部门按照干部人事管理权限，负责事业单位人事管理回避的执行和监督。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第二章  岗位回避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第七条 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第八条 事业单位工作人员岗位回避按照以下程序办理：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（一）本人提出回避申请，或者有关单位、人员提出回避要求。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（二）所在单位或者主管部门按照干部人事管理权限在一个月内作出回避决定。作出回避决定前，应当听取需要回避人员及相关人员的意见。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（三）回避决定作出后，及时通知申请人，需要回避的，应当自回避决定作出之日起1个月内调整至相应岗位，并变更或者重新订立聘用合同。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第九条 岗位等级不同的一般由岗位等级较低的一方回避；岗位等级相同或者岗位类别不同的，根据工作需要和实际情况决定其中一方回避。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第三章  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第十一条 事业单位工作人员应当回避的履职活动包括：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（一）岗位设置、公开招聘、聘用解聘（任免）、考核考察、奖励、处分、交流、人事争议处理、出国（境）审批；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（二）人事考试、职称评审、人才评价；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（三）招生考试、项目评审、成果评选、资金审批与监管；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（四）其他应当回避的履职活动。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（一）涉及本人利害关系的；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（二）涉及与本人有本规定第六条所列亲属关系人员的利害关系的；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（三）其他可能影响公正履行职责的。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第十三条 事业单位工作人员履职回避按照以下程序办理：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（一）本人或利害关系人提出回避申请，或者有关单位提出回避要求。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（三）根据回避决定需要回避的，应当自回避决定作出之日起退出相关工作。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回避决定应当及时作出。回避决定作出前，本人可视情况确定是否先行退出相关履职活动。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第二十条 对个人、组织据实反映本规定所列各类需要回避情形的，有关单位、部门应当按照干部人事管理权限及时处理。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jc w:val="center"/>
        <w:rPr>
          <w:rFonts w:hint="eastAsia" w:ascii="宋体" w:hAnsi="宋体" w:eastAsia="宋体" w:cs="宋体"/>
          <w:i w:val="0"/>
          <w:iCs w:val="0"/>
          <w:caps w:val="0"/>
          <w:color w:val="333333"/>
          <w:spacing w:val="0"/>
          <w:sz w:val="19"/>
          <w:szCs w:val="19"/>
        </w:rPr>
      </w:pPr>
      <w:r>
        <w:rPr>
          <w:rStyle w:val="6"/>
          <w:rFonts w:hint="eastAsia" w:ascii="宋体" w:hAnsi="宋体" w:eastAsia="宋体" w:cs="宋体"/>
          <w:i w:val="0"/>
          <w:iCs w:val="0"/>
          <w:caps w:val="0"/>
          <w:color w:val="333333"/>
          <w:spacing w:val="0"/>
          <w:sz w:val="19"/>
          <w:szCs w:val="19"/>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第二十一条 主管部门对所属事业单位实施人事管理工作需要回避的，参照本规定执行，法律法规另有规定的从其规定。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第二十二条 机关工勤人员的回避，参照本规定执行。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第二十三条 本规定由中共中央组织部、人力资源社会保障部负责解释。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42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ZDQxNTNhNGI3ZjBiYzE3MWY0ZmY4MDljMmRiZGYifQ=="/>
  </w:docVars>
  <w:rsids>
    <w:rsidRoot w:val="00000000"/>
    <w:rsid w:val="542D3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2024-02-27T03:52:55Z</dcterms:created>
  <dc:creator>86187</dc:creator>
  <cp:lastModifiedBy>WPS_1622078550</cp:lastModifiedBy>
  <dcterms:modified xsi:type="dcterms:W3CDTF">2024-02-27T03:53:05Z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AC569F0ECC5F4B0EBBFA9B3582915E6D_12</vt:lpwstr>
  </property>
</Properties>
</file>